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ind w:left="-360" w:hanging="0"/>
        <w:jc w:val="center"/>
        <w:rPr>
          <w:sz w:val="24"/>
          <w:szCs w:val="24"/>
        </w:rPr>
      </w:pPr>
      <w:r>
        <w:rPr>
          <w:sz w:val="24"/>
          <w:szCs w:val="24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июня 2025 года </w:t>
        <w:tab/>
        <w:tab/>
        <w:tab/>
        <w:tab/>
        <w:tab/>
        <w:t xml:space="preserve">                                   № </w:t>
      </w:r>
      <w:r>
        <w:rPr>
          <w:rFonts w:ascii="Times New Roman" w:hAnsi="Times New Roman"/>
          <w:sz w:val="26"/>
          <w:szCs w:val="26"/>
        </w:rPr>
        <w:t>77/975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firstLine="540"/>
        <w:jc w:val="center"/>
        <w:rPr>
          <w:sz w:val="28"/>
          <w:szCs w:val="28"/>
          <w:highlight w:val="none"/>
          <w:shd w:fill="FFFFFF" w:val="clear"/>
        </w:rPr>
      </w:pPr>
      <w:r>
        <w:rPr>
          <w:rFonts w:eastAsia="Calibri"/>
          <w:b/>
          <w:sz w:val="28"/>
          <w:szCs w:val="28"/>
          <w:shd w:fill="FFFFFF" w:val="clear"/>
        </w:rPr>
        <w:t xml:space="preserve">Об объеме сведений о кандидатах на муниципальных выборах, назначенных на территории Успенского района, </w:t>
      </w:r>
    </w:p>
    <w:p>
      <w:pPr>
        <w:pStyle w:val="Normal"/>
        <w:ind w:firstLine="540"/>
        <w:jc w:val="center"/>
        <w:rPr>
          <w:sz w:val="28"/>
          <w:szCs w:val="28"/>
          <w:highlight w:val="none"/>
          <w:shd w:fill="FFFFFF" w:val="clear"/>
        </w:rPr>
      </w:pPr>
      <w:r>
        <w:rPr>
          <w:rFonts w:eastAsia="Calibri"/>
          <w:b/>
          <w:sz w:val="28"/>
          <w:szCs w:val="28"/>
          <w:shd w:fill="FFFFFF" w:val="clear"/>
        </w:rPr>
        <w:t xml:space="preserve">на 14 сентября 2025 года, </w:t>
      </w:r>
      <w:r>
        <w:rPr>
          <w:rFonts w:eastAsia="Calibri"/>
          <w:b/>
          <w:bCs/>
          <w:sz w:val="28"/>
          <w:szCs w:val="28"/>
          <w:shd w:fill="FFFFFF" w:val="clear"/>
        </w:rPr>
        <w:t xml:space="preserve">представленных при их выдвижении, </w:t>
      </w:r>
    </w:p>
    <w:p>
      <w:pPr>
        <w:pStyle w:val="Normal"/>
        <w:spacing w:lineRule="auto" w:line="240" w:before="0" w:after="0"/>
        <w:ind w:firstLine="540"/>
        <w:jc w:val="center"/>
        <w:rPr>
          <w:sz w:val="28"/>
          <w:szCs w:val="28"/>
          <w:highlight w:val="none"/>
          <w:shd w:fill="FFFFFF" w:val="clear"/>
        </w:rPr>
      </w:pPr>
      <w:r>
        <w:rPr>
          <w:rFonts w:eastAsia="Calibri" w:ascii="Nimbus Roman" w:hAnsi="Nimbus Roman"/>
          <w:b/>
          <w:bCs/>
          <w:sz w:val="28"/>
          <w:szCs w:val="28"/>
          <w:shd w:fill="FFFFFF" w:val="clear"/>
        </w:rPr>
        <w:t>доводимых до сведения избирателей</w:t>
      </w:r>
    </w:p>
    <w:p>
      <w:pPr>
        <w:pStyle w:val="Normal"/>
        <w:spacing w:lineRule="auto" w:line="240" w:before="0" w:after="0"/>
        <w:jc w:val="center"/>
        <w:rPr>
          <w:rFonts w:ascii="Nimbus Roman" w:hAnsi="Nimbus Roman"/>
          <w:b/>
          <w:b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Calibri" w:ascii="Nimbus Roman" w:hAnsi="Nimbus Roman"/>
          <w:bCs/>
          <w:color w:val="000000"/>
          <w:sz w:val="28"/>
          <w:szCs w:val="28"/>
        </w:rPr>
        <w:t xml:space="preserve">В соответствии с </w:t>
      </w:r>
      <w:hyperlink r:id="rId2">
        <w:r>
          <w:rPr>
            <w:rFonts w:eastAsia="Calibri" w:ascii="Nimbus Roman" w:hAnsi="Nimbus Roman"/>
            <w:bCs/>
            <w:color w:val="000000"/>
            <w:sz w:val="28"/>
            <w:szCs w:val="28"/>
          </w:rPr>
          <w:t>пунктом 7</w:t>
        </w:r>
      </w:hyperlink>
      <w:r>
        <w:rPr>
          <w:rFonts w:eastAsia="Calibri" w:ascii="Nimbus Roman" w:hAnsi="Nimbus Roman"/>
          <w:bCs/>
          <w:color w:val="000000"/>
          <w:sz w:val="28"/>
          <w:szCs w:val="28"/>
        </w:rPr>
        <w:t xml:space="preserve"> статьи 33 </w:t>
      </w:r>
      <w:r>
        <w:rPr>
          <w:rFonts w:ascii="Nimbus Roman" w:hAnsi="Nimbus Roman"/>
          <w:sz w:val="28"/>
          <w:szCs w:val="28"/>
        </w:rPr>
        <w:t>Федерального закона от 12 июня 2002 г.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г. № 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 w:val="false"/>
          <w:sz w:val="28"/>
          <w:szCs w:val="28"/>
          <w:lang w:val="ru-RU"/>
        </w:rPr>
        <w:t>1.</w:t>
      </w:r>
      <w:r>
        <w:rPr>
          <w:rFonts w:eastAsia="Calibri" w:ascii="Nimbus Roman" w:hAnsi="Nimbus Roman"/>
          <w:b w:val="false"/>
          <w:sz w:val="28"/>
          <w:szCs w:val="28"/>
          <w:shd w:fill="FFFFFF" w:val="clear"/>
          <w:lang w:val="ru-RU"/>
        </w:rPr>
        <w:t xml:space="preserve">  </w:t>
      </w:r>
      <w:r>
        <w:rPr>
          <w:rFonts w:ascii="Nimbus Roman" w:hAnsi="Nimbus Roman"/>
          <w:b w:val="false"/>
          <w:sz w:val="28"/>
          <w:szCs w:val="28"/>
          <w:shd w:fill="FFFFFF" w:val="clear"/>
          <w:lang w:val="ru-RU"/>
        </w:rPr>
        <w:t xml:space="preserve">Утвердить объем сведений о выдвинутых кандидатах в депутаты Совета муниципального образования Успенский район, а также на должность главы Урупского сельского поселения Успенский район, </w:t>
      </w:r>
      <w:r>
        <w:rPr>
          <w:rFonts w:eastAsia="Calibri" w:ascii="Nimbus Roman" w:hAnsi="Nimbus Roman"/>
          <w:b w:val="false"/>
          <w:bCs/>
          <w:sz w:val="28"/>
          <w:szCs w:val="28"/>
          <w:shd w:fill="FFFFFF" w:val="clear"/>
          <w:lang w:val="ru-RU"/>
        </w:rPr>
        <w:t xml:space="preserve">представленных при их выдвижении, </w:t>
      </w:r>
      <w:r>
        <w:rPr>
          <w:rFonts w:ascii="Nimbus Roman" w:hAnsi="Nimbus Roman"/>
          <w:b w:val="false"/>
          <w:sz w:val="28"/>
          <w:szCs w:val="28"/>
          <w:shd w:fill="FFFFFF" w:val="clear"/>
          <w:lang w:val="ru-RU"/>
        </w:rPr>
        <w:t>доводимых до сведения избирателей (прилагается)</w:t>
      </w:r>
      <w:r>
        <w:rPr>
          <w:rFonts w:eastAsia="Calibri" w:ascii="Nimbus Roman" w:hAnsi="Nimbus Roman"/>
          <w:b w:val="false"/>
          <w:sz w:val="28"/>
          <w:szCs w:val="28"/>
          <w:shd w:fill="FFFFFF" w:val="clear"/>
          <w:lang w:val="ru-RU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bookmarkStart w:id="0" w:name="Par1"/>
      <w:bookmarkEnd w:id="0"/>
      <w:r>
        <w:rPr>
          <w:rFonts w:eastAsia="Calibri" w:ascii="Nimbus Roman" w:hAnsi="Nimbus Roman"/>
          <w:b w:val="false"/>
          <w:bCs/>
          <w:sz w:val="28"/>
          <w:szCs w:val="28"/>
          <w:shd w:fill="FFFFFF" w:val="clear"/>
          <w:lang w:val="ru-RU"/>
        </w:rPr>
        <w:t>2. Р</w:t>
      </w:r>
      <w:r>
        <w:rPr>
          <w:rFonts w:ascii="Nimbus Roman" w:hAnsi="Nimbus Roman"/>
          <w:b w:val="false"/>
          <w:bCs/>
          <w:sz w:val="28"/>
          <w:szCs w:val="28"/>
          <w:shd w:fill="FFFFFF" w:val="clear"/>
          <w:lang w:val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Интернет, а также на информационном стенде территориальной избирательной комиссии Успенская.</w:t>
      </w:r>
    </w:p>
    <w:p>
      <w:pPr>
        <w:pStyle w:val="Style26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  <w:lang w:val="ru-RU"/>
        </w:rPr>
        <w:t>2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</w:rPr>
        <w:t>.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  <w:lang w:val="ru-RU"/>
        </w:rPr>
        <w:t xml:space="preserve"> </w:t>
      </w:r>
      <w:r>
        <w:rPr>
          <w:rFonts w:eastAsia="Calibri" w:cs="Arial" w:ascii="Nimbus Roman" w:hAnsi="Nimbus Roman"/>
          <w:b w:val="false"/>
          <w:sz w:val="28"/>
          <w:szCs w:val="28"/>
          <w:shd w:fill="FFFFFF" w:val="clear"/>
        </w:rPr>
        <w:t>Контроль за выполнением  пункта 2 настоящего решения возложить на секретаря территориальной избирательной комиссии Успенская Ю.С. Плохутину.</w:t>
      </w:r>
    </w:p>
    <w:p>
      <w:pPr>
        <w:pStyle w:val="Normal"/>
        <w:spacing w:lineRule="auto" w:line="360" w:before="0" w:after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ab/>
        <w:t xml:space="preserve">                                          С.Г. Геворкян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 территориальной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  <w:r>
        <w:br w:type="page"/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Приложение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к решению территориальной избирательной комиссии  Успенская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«20» июня 2025 года № </w:t>
      </w:r>
      <w:r>
        <w:rPr>
          <w:bCs/>
          <w:sz w:val="24"/>
          <w:szCs w:val="24"/>
        </w:rPr>
        <w:t>77/975</w:t>
      </w:r>
    </w:p>
    <w:p>
      <w:pPr>
        <w:pStyle w:val="Normal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ОБЪЕМ СВЕДЕНИЙ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кандидатах в депутаты, </w:t>
      </w:r>
      <w:r>
        <w:rPr>
          <w:rFonts w:eastAsia="Calibri"/>
          <w:b/>
          <w:bCs/>
          <w:sz w:val="28"/>
          <w:szCs w:val="28"/>
        </w:rPr>
        <w:t xml:space="preserve">представленных при их выдвижении, </w:t>
      </w:r>
      <w:r>
        <w:rPr>
          <w:rFonts w:eastAsia="Calibri"/>
          <w:b/>
          <w:sz w:val="28"/>
          <w:szCs w:val="28"/>
        </w:rPr>
        <w:t>доводимых до сведения избирателей</w:t>
      </w:r>
    </w:p>
    <w:p>
      <w:pPr>
        <w:pStyle w:val="Normal"/>
        <w:ind w:firstLine="709"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BodyTextIndent2"/>
        <w:spacing w:lineRule="auto" w:line="24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7 статьи 33 Федерального закона от 12 июня 2002 г. № 67-ФЗ «Об основных гарантиях избирательных прав и права на участие в референдуме граждан Российской Федерации», частью 5 статьи 19 Закона Краснодарского края от 26 декабря 2005 г.</w:t>
        <w:br/>
        <w:t>№ 966-КЗ «О муниципальных выборах в Краснодарском крае» при подготовке и проведении муниципальных выборов территориальная избирательная комиссия, доводит до сведения избирателей информацию о кандидатах, выдвинутых на муниципальных выборах, представленную при их выдвижении (в том числе о кандидатах, баллотирующихся в составе муниципального списка кандидатов), в объеме следующих сведений: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отчество; 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и место рождения;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месте жительства (наименование субъекта Российской Федерации, района, города, иного населенного пункта);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профессиональном образовании с указанием организации, осуществляющей образовательную деятельность, года ее окончания;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основное место работы или службы, занимаемая должность (в случае отсутствия основного места работы или службы – род занятий);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 с указанием наименования соответствующего представительного органа;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если кандидат выдвинут избирательным объединением – слово «выдвинут» с указанием соответствующего наименования политической партии в соответствии с частью 2.1 статьи 16 Закона Краснодарского края от 26 декабря 2005 г. № 966-КЗ «О выборах муниципальных выборах в Краснодарском крае»;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если кандидат сам выдвинул свою кандидатуру – слово «самовыдвижение»;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отношении кандидатов, выдвинутых по одномандатным избирательным округам, дополнительно указывается наименование и номер одномандатного избирательного округа;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(если эти сведения указаны в заявлении кандидата о согласии баллотироваться); 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судимости (при наличии):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если судимость снята или погашена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 погашения судимости;</w:t>
      </w:r>
    </w:p>
    <w:p>
      <w:pPr>
        <w:pStyle w:val="Style27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если судимость не снята и не погашена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>
      <w:pPr>
        <w:pStyle w:val="Style27"/>
        <w:widowControl/>
        <w:suppressAutoHyphens w:val="true"/>
        <w:bidi w:val="0"/>
        <w:spacing w:lineRule="auto" w:line="240" w:before="0" w:after="0"/>
        <w:ind w:left="0"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rFonts w:eastAsia="Calibri" w:cs="Times New Roman"/>
          <w:b w:val="false"/>
          <w:bCs/>
          <w:color w:val="000000"/>
          <w:sz w:val="28"/>
          <w:szCs w:val="28"/>
          <w:shd w:fill="FFFFFF" w:val="clear"/>
          <w:lang w:val="ru-RU" w:eastAsia="en-US" w:bidi="ar-SA"/>
        </w:rPr>
        <w:t>- сведения о том, что зарегистрированный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</w:p>
    <w:sectPr>
      <w:type w:val="nextPage"/>
      <w:pgSz w:w="11906" w:h="16838"/>
      <w:pgMar w:left="1431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Nimbus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character" w:styleId="Pagenumber">
    <w:name w:val="page number"/>
    <w:basedOn w:val="DefaultParagraphFont"/>
    <w:qFormat/>
    <w:rPr/>
  </w:style>
  <w:style w:type="character" w:styleId="Style19">
    <w:name w:val="Гипертекстовая ссылка"/>
    <w:qFormat/>
    <w:rPr>
      <w:color w:val="106BBE"/>
    </w:rPr>
  </w:style>
  <w:style w:type="character" w:styleId="Style20">
    <w:name w:val="Маркеры"/>
    <w:qFormat/>
    <w:rPr>
      <w:rFonts w:ascii="OpenSymbol" w:hAnsi="OpenSymbol" w:eastAsia="OpenSymbol" w:cs="OpenSymbol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>
    <w:name w:val="Title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7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30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Style33">
    <w:name w:val="Footer"/>
    <w:basedOn w:val="Normal"/>
    <w:pPr/>
    <w:rPr>
      <w:rFonts w:eastAsia="Calibri"/>
      <w:szCs w:val="22"/>
    </w:rPr>
  </w:style>
  <w:style w:type="paragraph" w:styleId="3">
    <w:name w:val="Основной текст 3"/>
    <w:basedOn w:val="Normal"/>
    <w:qFormat/>
    <w:pPr>
      <w:ind w:left="0" w:right="5154" w:hanging="0"/>
    </w:pPr>
    <w:rPr>
      <w:sz w:val="20"/>
      <w:lang w:val="ru-RU"/>
    </w:rPr>
  </w:style>
  <w:style w:type="paragraph" w:styleId="Style34">
    <w:name w:val="Содержимое врезки"/>
    <w:basedOn w:val="Normal"/>
    <w:qFormat/>
    <w:pPr/>
    <w:rPr/>
  </w:style>
  <w:style w:type="paragraph" w:styleId="141">
    <w:name w:val="Текст 14-1"/>
    <w:basedOn w:val="Normal"/>
    <w:qFormat/>
    <w:pPr>
      <w:spacing w:lineRule="auto" w:line="360"/>
      <w:ind w:firstLine="709"/>
    </w:pPr>
    <w:rPr>
      <w:rFonts w:ascii="Times New Roman CYR" w:hAnsi="Times New Roman CYR" w:eastAsia="Times New Roman"/>
      <w:szCs w:val="20"/>
      <w:lang w:eastAsia="ru-RU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8"/>
      <w:lang w:val="ru-RU" w:eastAsia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yle35">
    <w:name w:val="полт"/>
    <w:basedOn w:val="Normal"/>
    <w:qFormat/>
    <w:pPr>
      <w:widowControl w:val="false"/>
      <w:spacing w:lineRule="auto" w:line="360"/>
      <w:ind w:firstLine="720"/>
    </w:pPr>
    <w:rPr>
      <w:rFonts w:ascii="Times New Roman CYR" w:hAnsi="Times New Roman CYR" w:eastAsia="Times New Roman"/>
      <w:szCs w:val="20"/>
      <w:lang w:eastAsia="ru-RU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  <w:jc w:val="left"/>
    </w:pPr>
    <w:rPr>
      <w:rFonts w:eastAsia="Times New Roman"/>
      <w:sz w:val="16"/>
      <w:szCs w:val="16"/>
      <w:lang w:eastAsia="ru-RU"/>
    </w:rPr>
  </w:style>
  <w:style w:type="paragraph" w:styleId="Style36">
    <w:name w:val="Документ ИКСО"/>
    <w:basedOn w:val="Normal"/>
    <w:qFormat/>
    <w:pPr>
      <w:spacing w:lineRule="auto" w:line="360"/>
      <w:ind w:firstLine="709"/>
    </w:pPr>
    <w:rPr>
      <w:rFonts w:ascii="Times New Roman CYR" w:hAnsi="Times New Roman CYR" w:eastAsia="Times New Roman"/>
      <w:szCs w:val="28"/>
      <w:lang w:eastAsia="ru-RU"/>
    </w:rPr>
  </w:style>
  <w:style w:type="paragraph" w:styleId="21">
    <w:name w:val="Основной текст 2"/>
    <w:basedOn w:val="Normal"/>
    <w:qFormat/>
    <w:pPr>
      <w:ind w:left="0" w:right="3401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538DDD3A202B23CB9EEDCCAF651474BBF60D0478AA87F62BF7E70BD4A71CDAF09370F279D8E89oC69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Application>LibreOffice/7.3.7.2$Linux_X86_64 LibreOffice_project/30$Build-2</Application>
  <AppVersion>15.0000</AppVersion>
  <Pages>3</Pages>
  <Words>590</Words>
  <Characters>4017</Characters>
  <CharactersWithSpaces>4681</CharactersWithSpaces>
  <Paragraphs>37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2025-06-19T17:12:14Z</cp:lastPrinted>
  <dcterms:modified xsi:type="dcterms:W3CDTF">2025-06-23T10:26:42Z</dcterms:modified>
  <cp:revision>92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